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539" w:rsidRDefault="00CE5539" w:rsidP="00CE5539">
      <w:pPr>
        <w:keepNext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E5539" w:rsidRDefault="00CE5539" w:rsidP="00CE5539">
      <w:pPr>
        <w:keepNext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E5539" w:rsidRDefault="00CE5539" w:rsidP="00CE5539">
      <w:pPr>
        <w:keepNext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E5539" w:rsidRDefault="00CE5539" w:rsidP="00CE5539">
      <w:pPr>
        <w:keepNext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14587" w:rsidRDefault="00614587" w:rsidP="00203C57">
      <w:pPr>
        <w:keepNext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14587" w:rsidRDefault="00211674" w:rsidP="00203C57">
      <w:pPr>
        <w:keepNext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E5006">
        <w:rPr>
          <w:rFonts w:ascii="Times New Roman" w:hAnsi="Times New Roman"/>
          <w:b/>
          <w:sz w:val="26"/>
          <w:szCs w:val="26"/>
        </w:rPr>
        <w:t xml:space="preserve">Задание на </w:t>
      </w:r>
      <w:r w:rsidR="00614587">
        <w:rPr>
          <w:rFonts w:ascii="Times New Roman" w:hAnsi="Times New Roman"/>
          <w:b/>
          <w:sz w:val="26"/>
          <w:szCs w:val="26"/>
        </w:rPr>
        <w:t xml:space="preserve">проектирование </w:t>
      </w:r>
      <w:r w:rsidR="001A42CE">
        <w:rPr>
          <w:rFonts w:ascii="Times New Roman" w:hAnsi="Times New Roman"/>
          <w:b/>
          <w:sz w:val="26"/>
          <w:szCs w:val="26"/>
        </w:rPr>
        <w:t xml:space="preserve">и </w:t>
      </w:r>
      <w:r w:rsidR="00614587">
        <w:rPr>
          <w:rFonts w:ascii="Times New Roman" w:hAnsi="Times New Roman"/>
          <w:b/>
          <w:sz w:val="26"/>
          <w:szCs w:val="26"/>
        </w:rPr>
        <w:t xml:space="preserve"> </w:t>
      </w:r>
      <w:r w:rsidR="00614587" w:rsidRPr="006E5006">
        <w:rPr>
          <w:rFonts w:ascii="Times New Roman" w:hAnsi="Times New Roman"/>
          <w:b/>
          <w:sz w:val="26"/>
          <w:szCs w:val="26"/>
        </w:rPr>
        <w:t xml:space="preserve">выполнение </w:t>
      </w:r>
      <w:proofErr w:type="gramStart"/>
      <w:r w:rsidR="00614587" w:rsidRPr="006E5006">
        <w:rPr>
          <w:rFonts w:ascii="Times New Roman" w:hAnsi="Times New Roman"/>
          <w:b/>
          <w:sz w:val="26"/>
          <w:szCs w:val="26"/>
        </w:rPr>
        <w:t>строительно-монтажных</w:t>
      </w:r>
      <w:proofErr w:type="gramEnd"/>
    </w:p>
    <w:p w:rsidR="00211674" w:rsidRDefault="00614587" w:rsidP="00203C57">
      <w:pPr>
        <w:keepNext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E5006">
        <w:rPr>
          <w:rFonts w:ascii="Times New Roman" w:hAnsi="Times New Roman"/>
          <w:b/>
          <w:sz w:val="26"/>
          <w:szCs w:val="26"/>
        </w:rPr>
        <w:t xml:space="preserve"> и пуско-наладочных работ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034E1C" w:rsidRDefault="00034E1C">
      <w:pPr>
        <w:keepNext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d"/>
        <w:tblpPr w:leftFromText="180" w:rightFromText="180" w:vertAnchor="page" w:horzAnchor="margin" w:tblpY="1978"/>
        <w:tblW w:w="10053" w:type="dxa"/>
        <w:tblLook w:val="04A0" w:firstRow="1" w:lastRow="0" w:firstColumn="1" w:lastColumn="0" w:noHBand="0" w:noVBand="1"/>
      </w:tblPr>
      <w:tblGrid>
        <w:gridCol w:w="5026"/>
        <w:gridCol w:w="5027"/>
      </w:tblGrid>
      <w:tr w:rsidR="006E5006" w:rsidTr="00211674">
        <w:trPr>
          <w:trHeight w:val="1692"/>
        </w:trPr>
        <w:tc>
          <w:tcPr>
            <w:tcW w:w="50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E5006" w:rsidRDefault="006E5006" w:rsidP="00211674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6E5006" w:rsidRDefault="006E5006" w:rsidP="00211674">
            <w:pPr>
              <w:pStyle w:val="aa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Исполняющий обязанности</w:t>
            </w:r>
          </w:p>
          <w:p w:rsidR="006E5006" w:rsidRDefault="006E5006" w:rsidP="00211674">
            <w:pPr>
              <w:pStyle w:val="aa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Заместителя главы города, </w:t>
            </w:r>
          </w:p>
          <w:p w:rsidR="006E5006" w:rsidRDefault="006E5006" w:rsidP="00211674">
            <w:pPr>
              <w:pStyle w:val="aa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департамента строительства </w:t>
            </w:r>
          </w:p>
          <w:p w:rsidR="006E5006" w:rsidRDefault="006E5006" w:rsidP="00211674">
            <w:pPr>
              <w:pStyle w:val="aa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города</w:t>
            </w:r>
          </w:p>
          <w:p w:rsidR="006E5006" w:rsidRDefault="006E5006" w:rsidP="00211674">
            <w:pPr>
              <w:pStyle w:val="aa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 С.В. Чеботарёв</w:t>
            </w:r>
          </w:p>
          <w:p w:rsidR="006E5006" w:rsidRDefault="006E5006" w:rsidP="00211674">
            <w:pPr>
              <w:pStyle w:val="aa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«____» _____________ 20___г.</w:t>
            </w:r>
          </w:p>
          <w:p w:rsidR="006E5006" w:rsidRDefault="006E5006" w:rsidP="00211674">
            <w:pPr>
              <w:pStyle w:val="aa"/>
              <w:jc w:val="left"/>
              <w:rPr>
                <w:sz w:val="20"/>
                <w:szCs w:val="20"/>
              </w:rPr>
            </w:pPr>
          </w:p>
          <w:p w:rsidR="006E5006" w:rsidRDefault="006E5006" w:rsidP="00211674">
            <w:pPr>
              <w:pStyle w:val="aa"/>
              <w:jc w:val="left"/>
              <w:rPr>
                <w:sz w:val="20"/>
                <w:szCs w:val="20"/>
              </w:rPr>
            </w:pPr>
          </w:p>
          <w:p w:rsidR="006E5006" w:rsidRDefault="006E5006" w:rsidP="00211674">
            <w:pPr>
              <w:pStyle w:val="aa"/>
              <w:jc w:val="left"/>
              <w:rPr>
                <w:sz w:val="20"/>
                <w:szCs w:val="20"/>
              </w:rPr>
            </w:pPr>
          </w:p>
        </w:tc>
        <w:tc>
          <w:tcPr>
            <w:tcW w:w="50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E5006" w:rsidRPr="007B6C16" w:rsidRDefault="006E5006" w:rsidP="00211674">
            <w:pPr>
              <w:keepNext/>
              <w:widowControl w:val="0"/>
              <w:spacing w:after="0" w:line="240" w:lineRule="auto"/>
              <w:ind w:left="530"/>
              <w:rPr>
                <w:rFonts w:ascii="Times New Roman" w:hAnsi="Times New Roman"/>
              </w:rPr>
            </w:pPr>
            <w:r w:rsidRPr="007B6C16">
              <w:rPr>
                <w:rFonts w:ascii="Times New Roman" w:hAnsi="Times New Roman"/>
              </w:rPr>
              <w:t>Утверждаю:</w:t>
            </w:r>
          </w:p>
          <w:p w:rsidR="006E5006" w:rsidRPr="007B6C16" w:rsidRDefault="006E5006" w:rsidP="00211674">
            <w:pPr>
              <w:keepNext/>
              <w:widowControl w:val="0"/>
              <w:spacing w:after="0" w:line="240" w:lineRule="auto"/>
              <w:ind w:left="530"/>
              <w:rPr>
                <w:rFonts w:ascii="Times New Roman" w:hAnsi="Times New Roman"/>
              </w:rPr>
            </w:pPr>
            <w:r w:rsidRPr="007B6C16">
              <w:rPr>
                <w:rFonts w:ascii="Times New Roman" w:hAnsi="Times New Roman"/>
              </w:rPr>
              <w:t>Генеральный директор</w:t>
            </w:r>
          </w:p>
          <w:p w:rsidR="006E5006" w:rsidRPr="007B6C16" w:rsidRDefault="006E5006" w:rsidP="00211674">
            <w:pPr>
              <w:keepNext/>
              <w:widowControl w:val="0"/>
              <w:spacing w:after="0" w:line="240" w:lineRule="auto"/>
              <w:ind w:left="5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Общества с ограниченной ответственностью</w:t>
            </w:r>
          </w:p>
          <w:p w:rsidR="006E5006" w:rsidRPr="007B6C16" w:rsidRDefault="006E5006" w:rsidP="00211674">
            <w:pPr>
              <w:keepNext/>
              <w:widowControl w:val="0"/>
              <w:spacing w:after="0" w:line="240" w:lineRule="auto"/>
              <w:ind w:left="530"/>
              <w:rPr>
                <w:rFonts w:ascii="Times New Roman" w:hAnsi="Times New Roman"/>
              </w:rPr>
            </w:pPr>
            <w:r w:rsidRPr="007B6C16">
              <w:rPr>
                <w:rFonts w:ascii="Times New Roman" w:hAnsi="Times New Roman"/>
              </w:rPr>
              <w:t>«</w:t>
            </w:r>
            <w:proofErr w:type="spellStart"/>
            <w:r w:rsidRPr="007B6C16">
              <w:rPr>
                <w:rFonts w:ascii="Times New Roman" w:hAnsi="Times New Roman"/>
              </w:rPr>
              <w:t>Нижневартовские</w:t>
            </w:r>
            <w:proofErr w:type="spellEnd"/>
            <w:r w:rsidRPr="007B6C16">
              <w:rPr>
                <w:rFonts w:ascii="Times New Roman" w:hAnsi="Times New Roman"/>
              </w:rPr>
              <w:t xml:space="preserve"> коммунальные системы»</w:t>
            </w:r>
          </w:p>
          <w:p w:rsidR="006E5006" w:rsidRDefault="006E5006" w:rsidP="00211674">
            <w:pPr>
              <w:pStyle w:val="aa"/>
              <w:ind w:left="53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 А.Н. Боков</w:t>
            </w:r>
          </w:p>
          <w:p w:rsidR="006E5006" w:rsidRDefault="006E5006" w:rsidP="00211674">
            <w:pPr>
              <w:pStyle w:val="aa"/>
              <w:ind w:left="53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«____» _____________ 20___г.</w:t>
            </w:r>
          </w:p>
          <w:p w:rsidR="006E5006" w:rsidRDefault="006E5006" w:rsidP="00211674">
            <w:pPr>
              <w:keepNext/>
              <w:widowControl w:val="0"/>
              <w:spacing w:after="0" w:line="240" w:lineRule="auto"/>
              <w:ind w:left="530"/>
              <w:rPr>
                <w:rFonts w:ascii="Times New Roman" w:hAnsi="Times New Roman"/>
                <w:sz w:val="24"/>
                <w:szCs w:val="24"/>
              </w:rPr>
            </w:pPr>
          </w:p>
          <w:p w:rsidR="006E5006" w:rsidRDefault="006E5006" w:rsidP="00211674">
            <w:pPr>
              <w:keepNext/>
              <w:widowControl w:val="0"/>
              <w:spacing w:after="0" w:line="240" w:lineRule="auto"/>
              <w:ind w:left="530"/>
              <w:rPr>
                <w:rFonts w:ascii="Times New Roman" w:hAnsi="Times New Roman"/>
                <w:sz w:val="24"/>
                <w:szCs w:val="24"/>
              </w:rPr>
            </w:pPr>
          </w:p>
          <w:p w:rsidR="006E5006" w:rsidRDefault="006E5006" w:rsidP="00211674">
            <w:pPr>
              <w:keepNext/>
              <w:widowControl w:val="0"/>
              <w:spacing w:after="0" w:line="240" w:lineRule="auto"/>
              <w:ind w:left="530"/>
              <w:rPr>
                <w:rFonts w:ascii="Times New Roman" w:hAnsi="Times New Roman"/>
                <w:sz w:val="24"/>
                <w:szCs w:val="24"/>
              </w:rPr>
            </w:pPr>
          </w:p>
          <w:p w:rsidR="006E5006" w:rsidRDefault="006E5006" w:rsidP="00211674">
            <w:pPr>
              <w:pStyle w:val="aa"/>
              <w:ind w:left="530"/>
              <w:jc w:val="left"/>
            </w:pPr>
          </w:p>
        </w:tc>
      </w:tr>
    </w:tbl>
    <w:p w:rsidR="006E5006" w:rsidRPr="006E5006" w:rsidRDefault="006E5006">
      <w:pPr>
        <w:keepNext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E5006" w:rsidRDefault="006E5006">
      <w:pPr>
        <w:keepNext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Наименование мероприятия:</w:t>
      </w:r>
    </w:p>
    <w:p w:rsidR="00BF0AD9" w:rsidRDefault="00944BEB" w:rsidP="00BF0A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4BEB">
        <w:rPr>
          <w:rFonts w:ascii="Times New Roman" w:hAnsi="Times New Roman"/>
          <w:b/>
          <w:sz w:val="28"/>
          <w:szCs w:val="28"/>
        </w:rPr>
        <w:t>Модернизация технологической и элек</w:t>
      </w:r>
      <w:r w:rsidR="0004413B">
        <w:rPr>
          <w:rFonts w:ascii="Times New Roman" w:hAnsi="Times New Roman"/>
          <w:b/>
          <w:sz w:val="28"/>
          <w:szCs w:val="28"/>
        </w:rPr>
        <w:t xml:space="preserve">тротехнической части на </w:t>
      </w:r>
      <w:r w:rsidR="00CE5539">
        <w:rPr>
          <w:rFonts w:ascii="Times New Roman" w:hAnsi="Times New Roman"/>
          <w:b/>
          <w:sz w:val="28"/>
          <w:szCs w:val="28"/>
        </w:rPr>
        <w:t>ЦТП (</w:t>
      </w:r>
      <w:r w:rsidR="0004413B">
        <w:rPr>
          <w:rFonts w:ascii="Times New Roman" w:hAnsi="Times New Roman"/>
          <w:b/>
          <w:sz w:val="28"/>
          <w:szCs w:val="28"/>
        </w:rPr>
        <w:t xml:space="preserve">35шт.) </w:t>
      </w:r>
    </w:p>
    <w:p w:rsidR="007B6C16" w:rsidRPr="00944BEB" w:rsidRDefault="0004413B" w:rsidP="00BF0A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(в том числе </w:t>
      </w:r>
      <w:proofErr w:type="spellStart"/>
      <w:r>
        <w:rPr>
          <w:rFonts w:ascii="Times New Roman" w:hAnsi="Times New Roman"/>
          <w:b/>
          <w:sz w:val="28"/>
          <w:szCs w:val="28"/>
        </w:rPr>
        <w:t>энергоаудит</w:t>
      </w:r>
      <w:proofErr w:type="spellEnd"/>
      <w:r>
        <w:rPr>
          <w:rFonts w:ascii="Times New Roman" w:hAnsi="Times New Roman"/>
          <w:b/>
          <w:sz w:val="28"/>
          <w:szCs w:val="28"/>
        </w:rPr>
        <w:t>, подготовка рабочей документации и строительно-монтажные работы)</w:t>
      </w:r>
    </w:p>
    <w:p w:rsidR="00034E1C" w:rsidRPr="00E3737D" w:rsidRDefault="00944BEB" w:rsidP="00E3737D">
      <w:pPr>
        <w:keepNext/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(п.</w:t>
      </w:r>
      <w:r w:rsidRPr="00944BEB">
        <w:t xml:space="preserve"> </w:t>
      </w:r>
      <w:r w:rsidR="00E43FDF">
        <w:rPr>
          <w:rFonts w:ascii="Times New Roman" w:hAnsi="Times New Roman"/>
          <w:sz w:val="26"/>
          <w:szCs w:val="26"/>
        </w:rPr>
        <w:t>1.2.4</w:t>
      </w:r>
      <w:r w:rsidR="007B6C16">
        <w:rPr>
          <w:rFonts w:ascii="Times New Roman" w:hAnsi="Times New Roman"/>
          <w:sz w:val="26"/>
          <w:szCs w:val="26"/>
        </w:rPr>
        <w:t xml:space="preserve"> </w:t>
      </w:r>
      <w:r w:rsidR="0004413B">
        <w:rPr>
          <w:rFonts w:ascii="Times New Roman" w:hAnsi="Times New Roman"/>
          <w:sz w:val="26"/>
          <w:szCs w:val="26"/>
        </w:rPr>
        <w:t>таблицы 5.1.</w:t>
      </w:r>
      <w:r w:rsidR="00E3737D">
        <w:rPr>
          <w:rFonts w:ascii="Times New Roman" w:hAnsi="Times New Roman"/>
          <w:sz w:val="26"/>
          <w:szCs w:val="26"/>
        </w:rPr>
        <w:t xml:space="preserve"> </w:t>
      </w:r>
      <w:r w:rsidR="007B6C16">
        <w:rPr>
          <w:rFonts w:ascii="Times New Roman" w:hAnsi="Times New Roman"/>
          <w:sz w:val="26"/>
          <w:szCs w:val="26"/>
        </w:rPr>
        <w:t>приложения 5 к концессионном</w:t>
      </w:r>
      <w:r w:rsidR="00106F77">
        <w:rPr>
          <w:rFonts w:ascii="Times New Roman" w:hAnsi="Times New Roman"/>
          <w:sz w:val="26"/>
          <w:szCs w:val="26"/>
        </w:rPr>
        <w:t>у соглашению от 29 июля 2020г.</w:t>
      </w:r>
      <w:r w:rsidR="007B6C16">
        <w:rPr>
          <w:rFonts w:ascii="Times New Roman" w:hAnsi="Times New Roman"/>
          <w:sz w:val="26"/>
          <w:szCs w:val="26"/>
        </w:rPr>
        <w:t xml:space="preserve"> в отношени</w:t>
      </w:r>
      <w:r w:rsidR="00E43FDF">
        <w:rPr>
          <w:rFonts w:ascii="Times New Roman" w:hAnsi="Times New Roman"/>
          <w:sz w:val="26"/>
          <w:szCs w:val="26"/>
        </w:rPr>
        <w:t>и централизованных систем холодно</w:t>
      </w:r>
      <w:r w:rsidR="007B6C16">
        <w:rPr>
          <w:rFonts w:ascii="Times New Roman" w:hAnsi="Times New Roman"/>
          <w:sz w:val="26"/>
          <w:szCs w:val="26"/>
        </w:rPr>
        <w:t>го водоснабжения, отдельных объектов таких систем</w:t>
      </w:r>
      <w:r w:rsidR="00BB0700">
        <w:rPr>
          <w:rFonts w:ascii="Times New Roman" w:hAnsi="Times New Roman"/>
          <w:sz w:val="26"/>
          <w:szCs w:val="26"/>
        </w:rPr>
        <w:t xml:space="preserve"> муниципального образования город Нижневартовск</w:t>
      </w:r>
      <w:r w:rsidR="007B6C16">
        <w:rPr>
          <w:rFonts w:ascii="Times New Roman" w:hAnsi="Times New Roman"/>
          <w:sz w:val="26"/>
          <w:szCs w:val="26"/>
        </w:rPr>
        <w:t xml:space="preserve">, между муниципальным образованием город Нижневартовск, Ханты-Мансийского автономного округа - Югры, </w:t>
      </w:r>
      <w:r w:rsidRPr="00944BEB">
        <w:rPr>
          <w:rFonts w:ascii="Times New Roman" w:hAnsi="Times New Roman"/>
          <w:sz w:val="28"/>
          <w:szCs w:val="28"/>
        </w:rPr>
        <w:t>Обществом с ограниченной ответственностью</w:t>
      </w:r>
      <w:r w:rsidR="00E3737D">
        <w:rPr>
          <w:rFonts w:ascii="Times New Roman" w:hAnsi="Times New Roman"/>
          <w:sz w:val="26"/>
          <w:szCs w:val="26"/>
        </w:rPr>
        <w:t xml:space="preserve"> </w:t>
      </w:r>
      <w:r w:rsidRPr="00944BEB">
        <w:rPr>
          <w:rFonts w:ascii="Times New Roman" w:hAnsi="Times New Roman"/>
          <w:sz w:val="28"/>
          <w:szCs w:val="28"/>
        </w:rPr>
        <w:t>«</w:t>
      </w:r>
      <w:proofErr w:type="spellStart"/>
      <w:r w:rsidRPr="00944BEB">
        <w:rPr>
          <w:rFonts w:ascii="Times New Roman" w:hAnsi="Times New Roman"/>
          <w:sz w:val="28"/>
          <w:szCs w:val="28"/>
        </w:rPr>
        <w:t>Нижневартовски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коммунальные системы» </w:t>
      </w:r>
      <w:r w:rsidR="007B6C16">
        <w:rPr>
          <w:rFonts w:ascii="Times New Roman" w:hAnsi="Times New Roman"/>
          <w:sz w:val="26"/>
          <w:szCs w:val="26"/>
        </w:rPr>
        <w:t>и Ханты-Манс</w:t>
      </w:r>
      <w:r>
        <w:rPr>
          <w:rFonts w:ascii="Times New Roman" w:hAnsi="Times New Roman"/>
          <w:sz w:val="26"/>
          <w:szCs w:val="26"/>
        </w:rPr>
        <w:t>ийским автономным округом-Югрой)</w:t>
      </w:r>
    </w:p>
    <w:p w:rsidR="00034E1C" w:rsidRDefault="00034E1C" w:rsidP="00E3737D">
      <w:pPr>
        <w:keepNext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B6C16" w:rsidRDefault="003C4C46" w:rsidP="00E3737D">
      <w:pPr>
        <w:keepNext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основании инвестиционной программы ООО «</w:t>
      </w:r>
      <w:proofErr w:type="spellStart"/>
      <w:r>
        <w:rPr>
          <w:rFonts w:ascii="Times New Roman" w:hAnsi="Times New Roman"/>
          <w:sz w:val="26"/>
          <w:szCs w:val="26"/>
        </w:rPr>
        <w:t>Нижневартовские</w:t>
      </w:r>
      <w:proofErr w:type="spellEnd"/>
      <w:r>
        <w:rPr>
          <w:rFonts w:ascii="Times New Roman" w:hAnsi="Times New Roman"/>
          <w:sz w:val="26"/>
          <w:szCs w:val="26"/>
        </w:rPr>
        <w:t xml:space="preserve"> коммунальные системы по развитию централизованных систем холодного водоснабжения и водоотведения муниципального образования город Нижневартовск на 2020-2023</w:t>
      </w:r>
      <w:r w:rsidR="00CE553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годы» утверждённой Приказом №33-Пр-87 от 17.09.2020г. пункт</w:t>
      </w:r>
      <w:r w:rsidR="009C13E5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</w:t>
      </w:r>
      <w:r w:rsidR="003E58A2">
        <w:rPr>
          <w:rFonts w:ascii="Times New Roman" w:hAnsi="Times New Roman"/>
          <w:sz w:val="26"/>
          <w:szCs w:val="26"/>
        </w:rPr>
        <w:t>3.2.1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3C4C46">
        <w:rPr>
          <w:rFonts w:ascii="Times New Roman" w:hAnsi="Times New Roman"/>
          <w:sz w:val="26"/>
          <w:szCs w:val="26"/>
        </w:rPr>
        <w:t>Модернизация технологической и электротехнической части на ЦТП 12/1</w:t>
      </w:r>
      <w:r>
        <w:rPr>
          <w:rFonts w:ascii="Times New Roman" w:hAnsi="Times New Roman"/>
          <w:sz w:val="26"/>
          <w:szCs w:val="26"/>
        </w:rPr>
        <w:t xml:space="preserve">» </w:t>
      </w:r>
      <w:r w:rsidR="00BD7A79">
        <w:rPr>
          <w:rFonts w:ascii="Times New Roman" w:hAnsi="Times New Roman"/>
          <w:sz w:val="26"/>
          <w:szCs w:val="26"/>
        </w:rPr>
        <w:t>по адресу ул. 60ле</w:t>
      </w:r>
      <w:r w:rsidR="00211674">
        <w:rPr>
          <w:rFonts w:ascii="Times New Roman" w:hAnsi="Times New Roman"/>
          <w:sz w:val="26"/>
          <w:szCs w:val="26"/>
        </w:rPr>
        <w:t>т Октября, 11 г. Нижневартовск</w:t>
      </w:r>
    </w:p>
    <w:p w:rsidR="0004413B" w:rsidRDefault="0004413B" w:rsidP="006E5006">
      <w:pPr>
        <w:keepNext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11674" w:rsidRDefault="00211674" w:rsidP="006E5006">
      <w:pPr>
        <w:keepNext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3FDF" w:rsidRDefault="00E43FDF">
      <w:pPr>
        <w:keepNext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43FDF" w:rsidRDefault="00E43FDF">
      <w:pPr>
        <w:keepNext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34E1C" w:rsidRDefault="00034E1C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4E1C" w:rsidRDefault="00034E1C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d"/>
        <w:tblW w:w="10053" w:type="dxa"/>
        <w:tblInd w:w="279" w:type="dxa"/>
        <w:tblLook w:val="04A0" w:firstRow="1" w:lastRow="0" w:firstColumn="1" w:lastColumn="0" w:noHBand="0" w:noVBand="1"/>
      </w:tblPr>
      <w:tblGrid>
        <w:gridCol w:w="5026"/>
        <w:gridCol w:w="5027"/>
      </w:tblGrid>
      <w:tr w:rsidR="00034E1C">
        <w:trPr>
          <w:trHeight w:val="1690"/>
        </w:trPr>
        <w:tc>
          <w:tcPr>
            <w:tcW w:w="50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34E1C" w:rsidRDefault="007B6C16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Проверено:</w:t>
            </w:r>
          </w:p>
          <w:p w:rsidR="00034E1C" w:rsidRDefault="007B6C16">
            <w:pPr>
              <w:pStyle w:val="aa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города, директор департамента жилищно-коммунального хозяйства администрации города</w:t>
            </w:r>
          </w:p>
          <w:p w:rsidR="00034E1C" w:rsidRDefault="00034E1C">
            <w:pPr>
              <w:pStyle w:val="aa"/>
              <w:jc w:val="left"/>
              <w:rPr>
                <w:sz w:val="20"/>
                <w:szCs w:val="20"/>
              </w:rPr>
            </w:pPr>
          </w:p>
          <w:p w:rsidR="00034E1C" w:rsidRDefault="007B6C16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 М.А.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Коротаев</w:t>
            </w:r>
            <w:proofErr w:type="spellEnd"/>
          </w:p>
          <w:p w:rsidR="00034E1C" w:rsidRDefault="00034E1C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4E1C" w:rsidRDefault="00034E1C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4E1C" w:rsidRDefault="00034E1C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34E1C" w:rsidRDefault="00034E1C">
            <w:pPr>
              <w:pStyle w:val="aa"/>
              <w:jc w:val="left"/>
              <w:rPr>
                <w:sz w:val="20"/>
                <w:szCs w:val="20"/>
              </w:rPr>
            </w:pPr>
          </w:p>
          <w:p w:rsidR="00034E1C" w:rsidRDefault="007B6C16">
            <w:pPr>
              <w:pStyle w:val="aa"/>
              <w:ind w:left="38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казенного учреждения «Управление капитального строительства города Нижневартовска»</w:t>
            </w:r>
          </w:p>
          <w:p w:rsidR="00034E1C" w:rsidRDefault="00034E1C">
            <w:pPr>
              <w:pStyle w:val="aa"/>
              <w:ind w:left="388"/>
              <w:jc w:val="left"/>
              <w:rPr>
                <w:sz w:val="20"/>
                <w:szCs w:val="20"/>
              </w:rPr>
            </w:pPr>
          </w:p>
          <w:p w:rsidR="00034E1C" w:rsidRDefault="007B6C16">
            <w:pPr>
              <w:keepNext/>
              <w:widowControl w:val="0"/>
              <w:spacing w:after="0" w:line="240" w:lineRule="auto"/>
              <w:ind w:left="3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 И.П.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Силецкий</w:t>
            </w:r>
            <w:proofErr w:type="spellEnd"/>
          </w:p>
          <w:p w:rsidR="00034E1C" w:rsidRDefault="00034E1C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4E1C" w:rsidRDefault="00034E1C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4E1C" w:rsidRDefault="00034E1C"/>
    <w:tbl>
      <w:tblPr>
        <w:tblpPr w:leftFromText="180" w:rightFromText="180" w:vertAnchor="text" w:horzAnchor="margin" w:tblpY="34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3085"/>
        <w:gridCol w:w="2126"/>
        <w:gridCol w:w="2127"/>
        <w:gridCol w:w="2233"/>
        <w:gridCol w:w="35"/>
      </w:tblGrid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lastRenderedPageBreak/>
              <w:t>1. Заказчик: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after="0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</w:t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ООО "</w:t>
            </w:r>
            <w:proofErr w:type="gramStart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Нижневартовске</w:t>
            </w:r>
            <w:proofErr w:type="gramEnd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коммунальные системы" г. Нижневартовск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2. Основание: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Инвестиционная программа ООО "</w:t>
            </w:r>
            <w:proofErr w:type="spellStart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Нижневартовские</w:t>
            </w:r>
            <w:proofErr w:type="spellEnd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коммунальные системы" г. Нижневартовск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3. Цель работы: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Модернизации технологической и электротехнической части </w:t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повысительной</w:t>
            </w:r>
            <w:proofErr w:type="spellEnd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насосной станции водоснабжения ЦТП 12/1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4. Объект: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proofErr w:type="spellStart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Повысительная</w:t>
            </w:r>
            <w:proofErr w:type="spellEnd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насосная станция ЦТП 12/1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5. Виды работ: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Замена основного технологического оборудования и установка автоматической станции управления насосными агрегатами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6. Объем работ: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Разработка </w:t>
            </w:r>
            <w:r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проектной документации стадии «Р»</w:t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, строительно-монтажные и пуско-наладочные работы согласно разработанной рабочей документации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7. Границы проектирования: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В границах существующих строительных конструкций ЦТП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8. Стадия проектирования: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Рабочая документация разделы (ТХ, ЭМ, АТП)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8.1. Марки основных комплектов рабочих чертежей в соответствии с ГОСТ Р21.1101-2009: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Раздел ТХ – технология производства (технологические решения);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Раздел ЭМ – внутренне электроснабжение (в границах проектируемого основного технологического оборудования и станции управления);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Раздел АТХ – автоматизация технологических процессов (в границах проектируемого основного технологического оборудования и станции управления);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9. Основные технические показатели: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9.1. Производительность насосной станции, м3/час: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180 м3/час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9.2. Общее кол-во насосных агрегатов, шт.</w:t>
            </w:r>
          </w:p>
        </w:tc>
        <w:tc>
          <w:tcPr>
            <w:tcW w:w="6521" w:type="dxa"/>
            <w:gridSpan w:val="4"/>
            <w:vAlign w:val="center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4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9.2.1. В том числе кол-во рабочих насосных агрегатов, шт.</w:t>
            </w:r>
          </w:p>
        </w:tc>
        <w:tc>
          <w:tcPr>
            <w:tcW w:w="6521" w:type="dxa"/>
            <w:gridSpan w:val="4"/>
            <w:vAlign w:val="center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9.2.2. В том числе кол-во резервных насосных агрегатов, шт.</w:t>
            </w:r>
          </w:p>
        </w:tc>
        <w:tc>
          <w:tcPr>
            <w:tcW w:w="6521" w:type="dxa"/>
            <w:gridSpan w:val="4"/>
            <w:vAlign w:val="center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3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 xml:space="preserve">9.3. Напор насосного агрегата, </w:t>
            </w:r>
            <w:proofErr w:type="spellStart"/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м</w:t>
            </w:r>
            <w:proofErr w:type="gramStart"/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.в</w:t>
            </w:r>
            <w:proofErr w:type="gramEnd"/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од.ст</w:t>
            </w:r>
            <w:proofErr w:type="spellEnd"/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.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20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9.9. Источник электроснабжения: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Существующее РП ЦТП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9.10. Напряжение питающей сети: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0,4 </w:t>
            </w:r>
            <w:proofErr w:type="spellStart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кВ</w:t>
            </w:r>
            <w:proofErr w:type="spellEnd"/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9.11. Частота питающей сети: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50 Гц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9.12. Расход электроэнергии</w:t>
            </w:r>
            <w:r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ab/>
            </w:r>
            <w:r w:rsidRPr="004E22E8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6521" w:type="dxa"/>
            <w:gridSpan w:val="4"/>
          </w:tcPr>
          <w:p w:rsidR="00E51300" w:rsidRPr="004E22E8" w:rsidRDefault="00E51300" w:rsidP="00E51300">
            <w:pPr>
              <w:pStyle w:val="ae"/>
              <w:spacing w:before="100" w:beforeAutospacing="1" w:after="100" w:afterAutospacing="1"/>
              <w:ind w:left="34" w:firstLine="0"/>
              <w:outlineLvl w:val="0"/>
              <w:rPr>
                <w:rFonts w:ascii="Times New Roman" w:hAnsi="Times New Roman"/>
                <w:bCs/>
                <w:kern w:val="36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Cs w:val="20"/>
              </w:rPr>
              <w:sym w:font="Wingdings" w:char="F09F"/>
            </w:r>
            <w:r w:rsidRPr="004E22E8">
              <w:rPr>
                <w:rFonts w:ascii="Times New Roman" w:hAnsi="Times New Roman"/>
                <w:bCs/>
                <w:i/>
                <w:kern w:val="36"/>
                <w:szCs w:val="20"/>
              </w:rPr>
              <w:t xml:space="preserve"> 69,32 кВт/</w:t>
            </w:r>
            <w:proofErr w:type="gramStart"/>
            <w:r w:rsidRPr="004E22E8">
              <w:rPr>
                <w:rFonts w:ascii="Times New Roman" w:hAnsi="Times New Roman"/>
                <w:bCs/>
                <w:i/>
                <w:kern w:val="36"/>
                <w:szCs w:val="20"/>
              </w:rPr>
              <w:t>ч</w:t>
            </w:r>
            <w:proofErr w:type="gramEnd"/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343235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kern w:val="3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kern w:val="36"/>
                <w:sz w:val="20"/>
                <w:szCs w:val="20"/>
              </w:rPr>
              <w:t xml:space="preserve">10. </w:t>
            </w:r>
            <w:r w:rsidRPr="00343235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Исходные данные:</w:t>
            </w:r>
          </w:p>
        </w:tc>
        <w:tc>
          <w:tcPr>
            <w:tcW w:w="6521" w:type="dxa"/>
            <w:gridSpan w:val="4"/>
          </w:tcPr>
          <w:p w:rsidR="00E51300" w:rsidRPr="00614587" w:rsidRDefault="00343235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Локально-сметный расчёт 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ТОиТ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, </w:t>
            </w:r>
            <w:r>
              <w:t xml:space="preserve"> </w:t>
            </w:r>
            <w:r w:rsidRPr="00343235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Локально-сметный расчёт</w:t>
            </w:r>
            <w:r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АСД,</w:t>
            </w:r>
            <w:r>
              <w:t xml:space="preserve"> </w:t>
            </w:r>
            <w:r w:rsidRPr="00343235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Локально-сметный расчёт</w:t>
            </w:r>
            <w:r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АТХ, </w:t>
            </w:r>
            <w:r>
              <w:t xml:space="preserve"> </w:t>
            </w:r>
            <w:r w:rsidRPr="00343235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Локально-сметный расчёт</w:t>
            </w:r>
            <w:r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ЭО, ВОР</w:t>
            </w:r>
          </w:p>
        </w:tc>
      </w:tr>
      <w:tr w:rsidR="00343235" w:rsidRPr="00614587" w:rsidTr="00E51300">
        <w:tc>
          <w:tcPr>
            <w:tcW w:w="3828" w:type="dxa"/>
            <w:gridSpan w:val="2"/>
          </w:tcPr>
          <w:p w:rsidR="00343235" w:rsidRPr="00614587" w:rsidRDefault="00343235" w:rsidP="00F010EE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1</w:t>
            </w:r>
            <w:r w:rsidR="00F010EE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1</w:t>
            </w: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. Основные требования:</w:t>
            </w:r>
          </w:p>
        </w:tc>
        <w:tc>
          <w:tcPr>
            <w:tcW w:w="6521" w:type="dxa"/>
            <w:gridSpan w:val="4"/>
          </w:tcPr>
          <w:p w:rsidR="00343235" w:rsidRPr="00614587" w:rsidRDefault="00343235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rPr>
          <w:trHeight w:val="2304"/>
        </w:trPr>
        <w:tc>
          <w:tcPr>
            <w:tcW w:w="3828" w:type="dxa"/>
            <w:gridSpan w:val="2"/>
          </w:tcPr>
          <w:p w:rsidR="00E51300" w:rsidRPr="00614587" w:rsidRDefault="00E51300" w:rsidP="00F010EE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</w:t>
            </w:r>
            <w:r w:rsidR="00F010EE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</w:t>
            </w: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1Проектная документация стадии «Р»: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принимаемые в </w:t>
            </w:r>
            <w:r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проектной документации в стадии «Р» </w:t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решения должны соответствовать действующим нормам и правилам;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объем проектной документации должен </w:t>
            </w:r>
            <w:proofErr w:type="gramStart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соответствовать действующим нормам и правилам и быть</w:t>
            </w:r>
            <w:proofErr w:type="gramEnd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достаточным для выполнения строительно-монтажных, пусконаладочных работ и ввода в эксплуатацию;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выполнить сметную документацию в текущем уровне цен;</w:t>
            </w:r>
          </w:p>
          <w:p w:rsidR="00E51300" w:rsidRPr="00614587" w:rsidRDefault="00E51300" w:rsidP="00E51300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Выполнить в 3-х экземплярах:</w:t>
            </w:r>
          </w:p>
          <w:p w:rsidR="00E51300" w:rsidRPr="00614587" w:rsidRDefault="00E51300" w:rsidP="00E51300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3 экземпляра на бумажных носителях, </w:t>
            </w:r>
          </w:p>
          <w:p w:rsidR="00E51300" w:rsidRPr="00614587" w:rsidRDefault="00E51300" w:rsidP="00E51300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 экземпляр - электронная версия.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Электронная версия документ</w:t>
            </w:r>
            <w:r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ации предоставляется в формате </w:t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PDF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F010EE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</w:t>
            </w:r>
            <w:r w:rsidR="00F010EE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</w:t>
            </w: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.2. Основное технологическое и вспомогательное оборудование, трубопроводы: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предусмотреть установку модульной насосной станции, в </w:t>
            </w:r>
            <w:proofErr w:type="spellStart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т.ч</w:t>
            </w:r>
            <w:proofErr w:type="spellEnd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. насосных агрегатов, в комплекте с силовыми и контрольными кабелями с предварительным согласованием Заказной спецификации на насосное оборудование;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предусмотреть замену основных технологических трубопроводов и запорно-регулирующей арматуры в насосной станции на арматуру с предварительным согласованием типа применяемой запорной арматуры;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предусмотреть установку запорной арматуры оборудованной ручным приводом на напорных и всасывающих трубопроводах насосной станции;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не применять для замены обратных клапанов – клапана шарового типа;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предусмотреть установку вантузов в наивысших токах сборного напорного коллектора машинного зала;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предусмотреть установку жидкостно заполненных манометров на всасывающих и напорных трубопроводах насосных агрегатов и отходящих линиях сборного напорного коллектора (предел измерений </w:t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lastRenderedPageBreak/>
              <w:t>принять с учетом рабочей характеристики насосного агрегата);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предусмотреть сливные врезки сборного напорного коллектора машинного зала в систему канализации;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предусмотреть сливные врезки напорных отходящих линий со станции в машинном зале в систему канализации.</w:t>
            </w: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</w:pPr>
            <w:r w:rsidRPr="00614587"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  <w:t>Основные требования к насосной станции:</w:t>
            </w: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</w:pP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При проектировании насосной станции выбор типа насосов и количества рабочих агрегатов следует производить на основании расчетов совместной работы насосов, сетей, суточного и часового графиков водоснабжения. При выборе типа агрегатов следует обеспечивать минимальную величину избыточных напоров, развиваемых насосами при всех режимах работы, за счет использования регулирующих емкостей, автоматизированного регулирования </w:t>
            </w:r>
            <w:proofErr w:type="gramStart"/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числа оборотов изменения числа насосов</w:t>
            </w:r>
            <w:proofErr w:type="gramEnd"/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 соответствие с изменением условий их работы в течение расчетного срока.</w:t>
            </w:r>
            <w:r w:rsidRPr="00614587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Трубопроводная обвязка и размещение запорной арматуры на всасывающих и напорных трубопроводах должны обеспечивать возможность:</w:t>
            </w: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1.) Замены или ремонта любого из насосов, обратных клапанов и основной запорной арматуры, а также проверки характеристики насосов без нарушения требований по обеспеченности подачи воды;</w:t>
            </w: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2.) Подачи воды </w:t>
            </w:r>
            <w:proofErr w:type="gramStart"/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каждую из напорных линий от каждого из насосов при отключении</w:t>
            </w:r>
            <w:proofErr w:type="gramEnd"/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одной из всасывающих линий.</w:t>
            </w: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Напорная линия должна быть оборудована запорной арматурой и обратным клапаном, устанавливаемым между насосной станцией и запорной арматурой.</w:t>
            </w: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случае возможного возникновения гидравлического удара при остановке насоса, обратные клапаны должны иметь устройства, предотвращающие их быстрое закрытие («захлопывание»).</w:t>
            </w: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 всасывающей линии запорную арматуру следует устанавливать у насосов, присоединенных к общему всасывающему коллектору, предусмотреть установку фильтра.</w:t>
            </w: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Диаметр труб, фасонных частей и арматуры следует принимать на основании технико-экономического расчета исходя из скоростей движения воды</w:t>
            </w:r>
          </w:p>
          <w:p w:rsidR="00E51300" w:rsidRPr="00614587" w:rsidRDefault="00E51300" w:rsidP="00E51300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Всасывающие и напорные коллекторы с запорной арматурой следует располагать в здании насосной станции.</w:t>
            </w:r>
            <w:r w:rsidRPr="00614587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Переходы для горизонтально расположенных всасывающих трубопроводов должны быть эксцентричными с прямой верхней частью во избежание образования в них воздушных полей. Всасывающий трубопровод должен иметь непрерывный подъем к насосу не менее 0,005.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F010EE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lastRenderedPageBreak/>
              <w:t>1</w:t>
            </w:r>
            <w:r w:rsidR="00F010EE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</w:t>
            </w: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.3. Силовая и электротехническая часть основного и вспомогательного технологического оборудования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В расчете установленной мощности учитываются все потребители с выделением потребителей группы 3 категории и потребителей, критичных к ПКЭ.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en-US"/>
              </w:rPr>
              <w:t>Каждый РП должен быть оборудован устройством дистанционного управления, пригодным для интеграции в общую систему управления высоковольтной сетью. Все компоненты системы дистанционного управления должны получать питание от источника бесперебойного питания.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В составе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распредустройства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на вводах 0,4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кВ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должна быть предусмотрена защита от перенапряжения каждой фазы на землю. Распределительные устройства (РУ) должны быть, как минимум, двухсекционными с АВР между секциями. РУ должны поставляться комплектно после проведения всего комплекса испытаний у производителя. Протоколы испытаний должны быть предъявлены до начала электромонтажных работ.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proofErr w:type="gram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В РУ</w:t>
            </w:r>
            <w:proofErr w:type="gram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организовать индивидуальную систему учета электроэнергии, для приборов учета запроектировать систему передачи данных на сервер, расположенный в отделе главного энергетика. Приборы учета предусмотреть классом точности не менее 0,5.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Компенсацию реактивной мощности следует осуществлять на напряжении 0,4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кВ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с подключением </w:t>
            </w: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lastRenderedPageBreak/>
              <w:t>конденсаторных установок к щитам низкого напряжения.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Применяемые КУ должны соответствовать стандарту МЭК 60831, иметь модульное исполнение, конструктивно сочетаться с комплектными устройствами, применяемыми на объекте, иметь возможность как напольного, так и навесного исполнения.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ind w:left="34" w:firstLine="425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В КУ должны быть предусмотрены защиты от перегрузок и коротких замыканий, а также встроены специальные контакторы или реакторы, ограничивающие токи при включении конденсаторов. В КУ должна быть предусмотрена возможность автоматического регулирования реактивной мощности с возможностью передачи данных по </w:t>
            </w:r>
            <w:proofErr w:type="spellStart"/>
            <w:proofErr w:type="gram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по</w:t>
            </w:r>
            <w:proofErr w:type="spellEnd"/>
            <w:proofErr w:type="gram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открытым протоколам обмена данными.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Кабели для подключения КУ должны быть рассчитаны на ток в 1,5 раза превышающий номинальный ток КУ.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proofErr w:type="gram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Общими требованиями ко всем выключателям 0,4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кВ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являются: характеристики и возможности должны обеспечивать полную селективность работы как при стандартном выборе аппаратов (когда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Icu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всех автоматических выключателей &gt;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Iкз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ожид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.), так и при использовании принципа «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Back-Up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» (когда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Icu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автоматических выключателей, установленных за токоограничивающими аппаратами, может быть &lt;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Iкз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ожид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.</w:t>
            </w:r>
            <w:proofErr w:type="gram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gram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МЭК 60947.2).</w:t>
            </w:r>
            <w:proofErr w:type="gram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Все пределы селективности (предельные токи селективности) должны быть документально гарантированы производителем.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Автоматические выключатели на уровне ВРУ и низковольтных шкафов (вторичное распределительное устройство) должны быть автоматическими выключателями в литом корпусе и соответствовать  нормам МЭК-947-1-5 и российским ГОСТ 50030.2; обеспечивать защиты от: перегрузок, коротких замыканий, от замыканий на землю, защиту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нейтрали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и т.д. 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Автоматические выключатели на уровне конечного распределения должны быть устройствами модульного исполнения, устанавливаемые на DIN-рейку; рассчитанными на номинальные токи от 0,5 до 125</w:t>
            </w:r>
            <w:proofErr w:type="gram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А</w:t>
            </w:r>
            <w:proofErr w:type="gram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; обеспечивающими защиту от сверхтоков (автоматические выключатели), от токов утечки (дифференциальные автоматические выключатели, устройства защитного отключения), а также иметь в составе серии – устройства контроля и управления (контакторы, таймеры и т.д.).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Распределительные низковольтные щиты должны выполняться как низковольтные комплектные модульные устройства внутренней установки, состоящие из металлических шкафов разборного типа, высотой до 2200 мм, со степенью защиты IP55 выполняемых в соответствии с </w:t>
            </w:r>
            <w:r w:rsidRPr="004E22E8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ГОСТ </w:t>
            </w:r>
            <w:proofErr w:type="gramStart"/>
            <w:r w:rsidRPr="004E22E8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Р</w:t>
            </w:r>
            <w:proofErr w:type="gramEnd"/>
            <w:r w:rsidRPr="004E22E8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51321.4-2011</w:t>
            </w:r>
            <w:r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. </w:t>
            </w:r>
            <w:proofErr w:type="gram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Степень защиты должна обеспечиваться как при закрытой, так и при открытой двери.</w:t>
            </w:r>
            <w:proofErr w:type="gram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Степень защиты шкафа от механических ударов – не меньше IK08. Материалом шкафов и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перегодок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должна быть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оцинковання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сталь с эпоксидным покрытием.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Номинальное напряжение распределительного щита должно быть 380/220</w:t>
            </w:r>
            <w:proofErr w:type="gram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В</w:t>
            </w:r>
            <w:proofErr w:type="gram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 переменного тока, частотой 50 Гц, с системой заземления TN-S (3 фазы,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нейтраль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, земля). Номинальное напряжение изоляции главных силовых шин – 1000 В.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Конструкция низковольтного щита – отдельно </w:t>
            </w:r>
            <w:proofErr w:type="gram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стоящий</w:t>
            </w:r>
            <w:proofErr w:type="gram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, напольный, состоящий из отдельных шкафов, скрепленных вместе. Распределительный щит должен обеспечивать свободный доступ для техобслуживания. Конструкция шкафа должна исключить доступ к токоведущим частям как при открытой двери, так и при снятой защитной лицевой панели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Шины должны быть выполнены из меди. Все главные шины, проходящие через распределительный щит, должны быть рассчитаны на полную допустимую токовую нагрузку сети. Медная шина заземления подсоединяется к каждой вертикальной секции по всей длине распределительного щита. Нулевая шина должна быть рассчитана на 100% нагрузки непрерывного тока главной шины.</w:t>
            </w:r>
          </w:p>
          <w:p w:rsidR="00E51300" w:rsidRPr="00614587" w:rsidRDefault="00E51300" w:rsidP="00E51300">
            <w:pPr>
              <w:numPr>
                <w:ilvl w:val="0"/>
                <w:numId w:val="4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lastRenderedPageBreak/>
              <w:t xml:space="preserve">Щиты должны иметь возможность: подвода кабелей сверху и снизу; присоединения комплектного </w:t>
            </w:r>
            <w:proofErr w:type="spellStart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>шинопровода</w:t>
            </w:r>
            <w:proofErr w:type="spellEnd"/>
            <w:r w:rsidRPr="00614587"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; </w:t>
            </w:r>
            <w:r>
              <w:rPr>
                <w:rFonts w:ascii="Times New Roman" w:eastAsia="TimesNewRomanPSMT" w:hAnsi="Times New Roman"/>
                <w:color w:val="000000"/>
                <w:sz w:val="20"/>
                <w:szCs w:val="20"/>
                <w:lang w:eastAsia="ja-JP"/>
              </w:rPr>
              <w:t xml:space="preserve">секционирования. 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для подключения и управления насосными агрегатами предусмотреть шкаф управления насосными агрегатами (ШУН) в комплекте с контроллером и программой управления технологическим режимом работы насосного оборудования с предварительным согласованием Заказной спецификации на шкаф управления насосами;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для подключения и управления насосными агрегатами предусмотреть установку преобразователя частоты (ПЧ) каскадного типа для защиты электропривода насосного агрегата от износа вследствие больших пусковых токов при повторно-кратковременном режиме работы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силовую часть ШУН для подключения насосных агрегатов выполнить в отдельных секциях для каждого насосного агрегата;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Применить, для прокладки силовых и контрольных кабелей насосных агрегатов в помещении - металлические перфорированные кабельные лотки из оцинкованной стали системы или другие предназначенные для прокладки силовой и слаботочной проводки;</w:t>
            </w:r>
          </w:p>
          <w:p w:rsidR="00E51300" w:rsidRPr="00614587" w:rsidRDefault="00E51300" w:rsidP="00E51300">
            <w:pPr>
              <w:numPr>
                <w:ilvl w:val="0"/>
                <w:numId w:val="3"/>
              </w:numPr>
              <w:spacing w:before="100" w:beforeAutospacing="1" w:after="0" w:afterAutospacing="1" w:line="240" w:lineRule="auto"/>
              <w:ind w:firstLine="426"/>
              <w:contextualSpacing/>
              <w:jc w:val="both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Вид проводки и способ прокладки сетей определить проектом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  <w:p w:rsidR="00E51300" w:rsidRPr="00614587" w:rsidRDefault="00E51300" w:rsidP="00E5130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АСУТП должна быть реализована на базе программируемого контроллера (ПЛК). </w:t>
            </w:r>
          </w:p>
          <w:p w:rsidR="00E51300" w:rsidRPr="00614587" w:rsidRDefault="00E51300" w:rsidP="00E5130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В качестве ПЛК в составе АСУ ТП НС необходимо использовать </w:t>
            </w:r>
            <w:proofErr w:type="gram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общепромышленный</w:t>
            </w:r>
            <w:proofErr w:type="gram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 ПЛК, соответствующий следующим требованиям: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Система передачи данных – сотовая связь стандарта GSM с частотами 850, 900, 1800, 1900 МГц;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рабочий диапазон температур: от +5 до +50°С;</w:t>
            </w: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ab/>
              <w:t>температура хранения: от -35 до +50°С</w:t>
            </w:r>
            <w:proofErr w:type="gram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;в</w:t>
            </w:r>
            <w:proofErr w:type="gram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лажность воздуха: от 5 до 95% (без выпадения конденсата);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ПЛК должен иметь модульную структуру, позволяющую гибко конфигурировать его под требуемое количество входных и выходных сигналов. Конфигурация ПЛК должна состоять из процессорного модуля, модулей дискретных входов/выходов, модулей аналоговых входов/выходов, интерфейсных модулей (RS232, RS485), специализированных модулей (термодатчиков, </w:t>
            </w:r>
            <w:proofErr w:type="spell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тензодатчиков</w:t>
            </w:r>
            <w:proofErr w:type="spell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, счетчиков и т.д.). Возможно применение комбинированных модулей. Ниже приведены подробные требования к каждому типу модулей ПЛК;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Быстродействие, достаточное для управления технологическим процессом (0.065 </w:t>
            </w:r>
            <w:proofErr w:type="spell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мкс</w:t>
            </w:r>
            <w:proofErr w:type="spell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 на логическую операцию);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Поддержка языков программирования по ГОСТ </w:t>
            </w:r>
            <w:proofErr w:type="gram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Р</w:t>
            </w:r>
            <w:proofErr w:type="gram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 МЭК 61131-3-2016 (IEC 61131-3);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Наличие аппаратных и программных прерываний;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Наличие энергонезависимой памяти для хранения программы и параметров;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Защита входов – </w:t>
            </w:r>
            <w:proofErr w:type="spell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опторазвязка</w:t>
            </w:r>
            <w:proofErr w:type="spell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Встроенный фильтр входных сигналов, для защиты от дребезга контактов;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Защита выходов – реле;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Допустимая нагрузка на выход – 2</w:t>
            </w:r>
            <w:proofErr w:type="gram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 А</w:t>
            </w:r>
            <w:proofErr w:type="gram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Типы измеряемых сигналов унифицированные: 0-10</w:t>
            </w:r>
            <w:proofErr w:type="gram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 В</w:t>
            </w:r>
            <w:proofErr w:type="gram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, 0-20 мА, 4-20 мА;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Встроенная проверка измерительного канала на типовые отказы (</w:t>
            </w:r>
            <w:proofErr w:type="gram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КЗ</w:t>
            </w:r>
            <w:proofErr w:type="gram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, обрыв, повреждение сенсора и т.п.);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Программирование ПЛК должно осуществляться через встроенные интерфейсы модуля CPU;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В ПЛК должен быть предусмотрен режим корректировки ПО и изменения </w:t>
            </w:r>
            <w:proofErr w:type="spell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уставок</w:t>
            </w:r>
            <w:proofErr w:type="spell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, параметров, без вывода контроллера из режима управления («горячий режим»);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ПЛК должен иметь встроенные средства самодиагностики, которые должны выявлять любые отклонения в работе ПЛК и указывать неисправные модули. Неисправности в работе модулей не должны приводить к аварийному останову ПЛК;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После отключения питания должен производиться </w:t>
            </w: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lastRenderedPageBreak/>
              <w:t>автоматический перезапуск ПЛК;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При любых сбоях в работе технологического оборудования ПЛК не должен производить повторный запуск оборудования без команды и подтверждения оператора;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При отказе системы управления верхнего уровня, ПЛК должен работать в автономном режиме.  Потеря данных недопустима, после восстановления работы сервера ПЛК должен передать данные за период аварийной работы, сохраняемые на внешнюю карту памяти в составе УСПД;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Напряжение срабатывания входов ПЛК – 24</w:t>
            </w:r>
            <w:proofErr w:type="gram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 В</w:t>
            </w:r>
            <w:proofErr w:type="gram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 постоянного тока.  Для обеспечения гальванической развязки и защиты выходов контроллера необходимо устанавливать промежуточные реле;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Для включения катушек коммутационной аппаратуры (реле, контакторы и т.д.) необходимо предусматривать защитные цепочки, характеристики которых определяются коммутационной аппаратурой. Должен быть предусмотрен резерв по дискретным и аналоговым входам/выходам ПЛК не менее 10%.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Для опроса оборудования сторонних производителей предусматривать коммуникационный модуль.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Для обеспечения связи с центральным диспетчерским пунктом контроля и мониторинга верхнего уровня предусматривать универсальное устройство сбора и передачи данных (УСПД) со следующими характеристиками: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Система передачи данных – сотовая связь стандарта GSM с частотами 850, 900, 1800, 1900 МГц;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Протокол передачи данных на верхний уровень по ГОСТ </w:t>
            </w:r>
            <w:proofErr w:type="gram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Р</w:t>
            </w:r>
            <w:proofErr w:type="gram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 60870-5-104 (с предоставлением формуляра согласования протокола);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Поддерживать протокол ГОСТ </w:t>
            </w:r>
            <w:proofErr w:type="gramStart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Р</w:t>
            </w:r>
            <w:proofErr w:type="gramEnd"/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 60870-5-104: чтение данных реального времени, чтение архивных данных с меткой времени, передача команд телеуправления;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Поддерживать режимы передачи данных: циклический, спонтанный, по запросу;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>Поддержка карт памяти: SD карта, для архивации данных в случае обрыва соединения;</w:t>
            </w:r>
          </w:p>
          <w:p w:rsidR="00E51300" w:rsidRPr="00614587" w:rsidRDefault="00E51300" w:rsidP="00E51300">
            <w:pPr>
              <w:numPr>
                <w:ilvl w:val="1"/>
                <w:numId w:val="5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Поддержка «прозрачного» режима для удаленного доступа и подробной диагностики системы средствами ПЛК. </w:t>
            </w:r>
          </w:p>
          <w:p w:rsidR="00E51300" w:rsidRPr="00614587" w:rsidRDefault="00E51300" w:rsidP="00E5130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</w:pP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contextualSpacing/>
              <w:jc w:val="both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MS Mincho" w:hAnsi="Times New Roman"/>
                <w:color w:val="000000"/>
                <w:sz w:val="20"/>
                <w:szCs w:val="20"/>
                <w:lang w:eastAsia="ja-JP"/>
              </w:rPr>
              <w:t xml:space="preserve">Должен быть предусмотрен запас на шасси контроллера для возможной модернизации системы автоматизации. 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Локальные системы управления, поставляемые комплектно с технологическим оборудованием, должны иметь возможность интеграции с разрабатываемой комплексной системой АСУ ТП. Для этих целей могут быть использованы дискретные и аналоговые сигналы, либо цифровые интерфейсы. Цифровые интерфейсы должны иметь открытый протокол обмена данными, например, </w:t>
            </w:r>
            <w:proofErr w:type="spellStart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Modbus</w:t>
            </w:r>
            <w:proofErr w:type="spellEnd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Modbus</w:t>
            </w:r>
            <w:proofErr w:type="spellEnd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TCP. Не допускается применение данных систем без возможности интеграции в АСУТП.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Внедряемая система управления должна иметь возможность регулировки насосных агрегатов в трех режимах (ручной, полуавтоматический и автоматический) с возможностью питания каждого ЭД от сети.</w:t>
            </w:r>
          </w:p>
          <w:p w:rsidR="00E51300" w:rsidRPr="00614587" w:rsidRDefault="00E51300" w:rsidP="00E51300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Ручной режим –</w:t>
            </w:r>
            <w:r w:rsidRPr="00614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Управление оборудованием НС реализуется только при помощи органов ручного управления с передней панели ШУ и/или кнопочных постов. Операции по подготовке и тестированию оборудования выполняет оператор на объекте. Контроль переключений – визуальный по средствам светозвуковой индикации.</w:t>
            </w:r>
          </w:p>
          <w:p w:rsidR="00E51300" w:rsidRPr="00614587" w:rsidRDefault="00E51300" w:rsidP="00E51300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Полуавтоматический режим – Управление оборудованием НС реализуется при помощи ПЛК по штатной циклограмме работы. Настройки и команды управления могут вводиться с сенсорной панели оператора на передней панели ШУ и с использованием органов ручного управления. Контроль переключений – визуальный по мнемосхемам сенсорной панели и средствам светозвуковой индикации.</w:t>
            </w:r>
          </w:p>
          <w:p w:rsidR="00E51300" w:rsidRPr="00614587" w:rsidRDefault="00E51300" w:rsidP="00E51300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Автоматический режим (основной) – система поддерживает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 xml:space="preserve">заданное давление в напорном водоводе в соответствии с измерениями в диктующих точках и суточным графикам давления. Также непрерывно контролируется рабочий уровень воды в РЧВ с передачей данных на верхний уровень АСУ. АСУ ТП ВНС управляет основными и резервными НА, регулируя их производительность с помощью ПЧ. Верхний уровень АСУ управляет производительностью ВНС на основе режимов работы и состояния всей системы </w:t>
            </w:r>
            <w:proofErr w:type="spellStart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ВиВ</w:t>
            </w:r>
            <w:proofErr w:type="spellEnd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. При отсутствии связи с верхним уровнем АСУ ТП НС должна поддерживать давление на выходе напорного водовода пропорционально расчетному расходу воды. Локальный алгоритм работы станции обеспечивает автоматическое включение/выключение НА, их плавный запуск/останов, а также отработку защитных функций.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Перечень технологических параметров для передачи на диспетчерский пункт согласовывается с заказчиком. Количество и тип передаваемых сигналов может меняться в зависимости от установ</w:t>
            </w: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ленного на станции оборудования.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Алгоритм и варианты управления насосными агрегатами согласовываются с заказчиком.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Управление исполнительными механизмами должно осуществляться сигналами 24В постоянного тока, либо ~220В переменного, при использовании исполнительных механизмов с цифровым выходом, управление должно осуществляться по открытым протоколам обмена данными.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Датчики с аналоговым выходом должны иметь питание 24В постоянного тока и выход уровнем 4-20мА.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Резистивные датчики должны иметь чувствительные элементы с характеристикой P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t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100,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Cu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10,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Ni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100, P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t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1000,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Ni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1000. Также возможно подключение термопар типа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B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E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J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K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N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R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T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,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U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317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Данные с электросчетчиков, расходомеров и </w:t>
            </w:r>
            <w:proofErr w:type="spellStart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тепловычислителей</w:t>
            </w:r>
            <w:proofErr w:type="spellEnd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должны собираться по открытым протоколам обмена данными или с аналогового выхода приборов уровнем 4-20мА.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Для размещения оборудования АСУТП использовать корпуса щитов со степенью защиты не менее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/>
              </w:rPr>
              <w:t>IP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54.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В случае тяжелых условий эксплуатации использовать со степенью защиты не менее 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val="en-US" w:eastAsia="en-US"/>
              </w:rPr>
              <w:t>IP</w:t>
            </w: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66.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Для обеспечения надежности работы системы управления установить в щит автоматики блок бесперебойного питания.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left="34" w:firstLine="425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 необходимости частотного регулирования двигателей применять частотные преобразователи (ПЧ) в комплектном исполнении степенью защиты </w:t>
            </w:r>
            <w:r w:rsidRPr="0061458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IP</w:t>
            </w:r>
            <w:r w:rsidRPr="00614587">
              <w:rPr>
                <w:rFonts w:ascii="Times New Roman" w:hAnsi="Times New Roman"/>
                <w:color w:val="000000"/>
                <w:sz w:val="20"/>
                <w:szCs w:val="20"/>
              </w:rPr>
              <w:t>54.</w:t>
            </w:r>
            <w:r w:rsidRPr="00614587">
              <w:rPr>
                <w:rFonts w:ascii="Calibri" w:eastAsia="Calibri" w:hAnsi="Calibri"/>
                <w:lang w:eastAsia="en-US"/>
              </w:rPr>
              <w:t xml:space="preserve"> </w:t>
            </w:r>
            <w:r w:rsidRPr="006145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ПЧ должен быть </w:t>
            </w:r>
            <w:proofErr w:type="gramStart"/>
            <w:r w:rsidRPr="00614587">
              <w:rPr>
                <w:rFonts w:ascii="Times New Roman" w:hAnsi="Times New Roman"/>
                <w:color w:val="000000"/>
                <w:sz w:val="20"/>
                <w:szCs w:val="20"/>
              </w:rPr>
              <w:t>рекомендованы</w:t>
            </w:r>
            <w:proofErr w:type="gramEnd"/>
            <w:r w:rsidRPr="006145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производителем к использованию с насосным оборудованием. Далее приведены требования к ПЧ 0,4 </w:t>
            </w:r>
            <w:proofErr w:type="spellStart"/>
            <w:r w:rsidRPr="0061458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614587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E51300" w:rsidRPr="00614587" w:rsidRDefault="00E51300" w:rsidP="00E51300">
            <w:pPr>
              <w:numPr>
                <w:ilvl w:val="0"/>
                <w:numId w:val="6"/>
              </w:num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Диапазон температур при эксплуатации: от +5</w:t>
            </w:r>
            <w:proofErr w:type="gramStart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°С</w:t>
            </w:r>
            <w:proofErr w:type="gramEnd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до +40 °С;</w:t>
            </w:r>
          </w:p>
          <w:p w:rsidR="00E51300" w:rsidRPr="00614587" w:rsidRDefault="00E51300" w:rsidP="00E51300">
            <w:pPr>
              <w:numPr>
                <w:ilvl w:val="0"/>
                <w:numId w:val="6"/>
              </w:num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Температура хранения: от -40</w:t>
            </w:r>
            <w:proofErr w:type="gramStart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до +65°С;</w:t>
            </w:r>
          </w:p>
          <w:p w:rsidR="00E51300" w:rsidRPr="00614587" w:rsidRDefault="00E51300" w:rsidP="00E51300">
            <w:pPr>
              <w:numPr>
                <w:ilvl w:val="0"/>
                <w:numId w:val="6"/>
              </w:num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Влажность воздуха при эксплуатации: от 10 до 95% (без выпадения конденсата);</w:t>
            </w:r>
          </w:p>
          <w:p w:rsidR="00E51300" w:rsidRPr="00614587" w:rsidRDefault="00E51300" w:rsidP="00E51300">
            <w:pPr>
              <w:numPr>
                <w:ilvl w:val="0"/>
                <w:numId w:val="6"/>
              </w:num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Допустимое напряжение питания: 380-500</w:t>
            </w:r>
            <w:proofErr w:type="gramStart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±10%;</w:t>
            </w:r>
          </w:p>
          <w:p w:rsidR="00E51300" w:rsidRPr="00614587" w:rsidRDefault="00E51300" w:rsidP="00E51300">
            <w:pPr>
              <w:numPr>
                <w:ilvl w:val="0"/>
                <w:numId w:val="6"/>
              </w:num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Частота питающей сети: 50 Гц ±5%;</w:t>
            </w:r>
          </w:p>
          <w:p w:rsidR="00E51300" w:rsidRPr="00614587" w:rsidRDefault="00E51300" w:rsidP="00E51300">
            <w:pPr>
              <w:numPr>
                <w:ilvl w:val="0"/>
                <w:numId w:val="6"/>
              </w:num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Мощность и номинальный ток ПЧ – в соответствии с параметрами электропривода </w:t>
            </w:r>
            <w:proofErr w:type="gramStart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НА</w:t>
            </w:r>
            <w:proofErr w:type="gramEnd"/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;</w:t>
            </w:r>
          </w:p>
          <w:p w:rsidR="00E51300" w:rsidRPr="00614587" w:rsidRDefault="00E51300" w:rsidP="00E51300">
            <w:pPr>
              <w:numPr>
                <w:ilvl w:val="0"/>
                <w:numId w:val="6"/>
              </w:num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Питание цепи управления ПЧ - 24В постоянного тока;</w:t>
            </w:r>
          </w:p>
          <w:p w:rsidR="00E51300" w:rsidRPr="00614587" w:rsidRDefault="00E51300" w:rsidP="00E51300">
            <w:pPr>
              <w:numPr>
                <w:ilvl w:val="0"/>
                <w:numId w:val="6"/>
              </w:num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Допустимая перегрузка без снижения ресурса – не менее 110% в течение 1 минуты (при температуре окружающей среды 40˚С);</w:t>
            </w:r>
          </w:p>
          <w:p w:rsidR="00E51300" w:rsidRPr="00614587" w:rsidRDefault="00E51300" w:rsidP="00E51300">
            <w:pPr>
              <w:numPr>
                <w:ilvl w:val="0"/>
                <w:numId w:val="6"/>
              </w:num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Наличие интерфейса физических (RS-232, RS-485 и др.) и логических интерфейсов для подключения к ПЛК;</w:t>
            </w:r>
          </w:p>
          <w:p w:rsidR="00E51300" w:rsidRPr="00902128" w:rsidRDefault="00E51300" w:rsidP="00E51300">
            <w:pPr>
              <w:numPr>
                <w:ilvl w:val="0"/>
                <w:numId w:val="6"/>
              </w:num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Наличие встроенного/внешнего радиатора охлаждения и, при необходимости, вентилятора системы охлаждения.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firstLine="360"/>
              <w:jc w:val="both"/>
              <w:rPr>
                <w:rFonts w:ascii="Calibri" w:eastAsia="Calibri" w:hAnsi="Calibri"/>
                <w:bCs/>
                <w:sz w:val="20"/>
                <w:szCs w:val="20"/>
                <w:lang w:eastAsia="en-US"/>
              </w:rPr>
            </w:pPr>
            <w:r w:rsidRPr="0061458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При необходимости плавного пуска двигателей применять устройства плавного пуска.</w:t>
            </w:r>
          </w:p>
          <w:p w:rsidR="00E51300" w:rsidRPr="00614587" w:rsidRDefault="00E51300" w:rsidP="00E51300">
            <w:pPr>
              <w:numPr>
                <w:ilvl w:val="0"/>
                <w:numId w:val="2"/>
              </w:numPr>
              <w:spacing w:before="100" w:beforeAutospacing="1" w:after="0" w:afterAutospacing="1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предусмотреть </w:t>
            </w:r>
            <w:proofErr w:type="gramStart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технологическое</w:t>
            </w:r>
            <w:proofErr w:type="gramEnd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управления автоматической работы включения и выключения насосных агрегатов по заданным значения. 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Автоматика безопасности и регулирования должна обеспечить работу насосного оборудования без постоянного присутствия обсуживающего персонала;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при работе насосов в автоматическом режиме предусмотреть вывод световой сигнализации и информации о режимах работы оборудования на ШУН, а также передачу сигнала в диспетчерскую службу. </w:t>
            </w:r>
          </w:p>
          <w:p w:rsidR="00E51300" w:rsidRPr="00614587" w:rsidRDefault="00E51300" w:rsidP="00E51300">
            <w:pPr>
              <w:keepNext/>
              <w:spacing w:after="0" w:line="240" w:lineRule="auto"/>
              <w:ind w:left="34" w:firstLine="283"/>
              <w:jc w:val="both"/>
              <w:outlineLvl w:val="2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для контроля параметров, изменение которых может </w:t>
            </w:r>
            <w:proofErr w:type="gramStart"/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привести к аварийному состоянию оборудования и учет которых необходим</w:t>
            </w:r>
            <w:proofErr w:type="gramEnd"/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для анализа работы оборудования, предусмотреть регистрирующие и суммирующие функции контроллера технологического режима.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 предусмотреть возможность удаленного контроля параметров работы: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количество рабочих насосных агрегатов на станции;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текущее состояние каждого насоса;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текущую нагрузку насосного агрегата;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текущий потребляемый ток насосным агрегатом;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текущая частота вращения насосного агрегата;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время работы насосного агрегата;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потребленная энергия;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предусмотреть возможность удаленного управления насосной станции: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остановка/запуск насосного агрегата;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- переключение насосных агрегатов (рабочий/резервный) </w:t>
            </w:r>
          </w:p>
          <w:p w:rsidR="00E51300" w:rsidRPr="00614587" w:rsidRDefault="00E51300" w:rsidP="00E51300">
            <w:pPr>
              <w:spacing w:after="0" w:line="240" w:lineRule="auto"/>
              <w:ind w:left="34" w:firstLine="283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измерение/корректировку основных технологических параметров;</w:t>
            </w:r>
          </w:p>
          <w:p w:rsidR="00E51300" w:rsidRPr="00614587" w:rsidRDefault="00E51300" w:rsidP="00E51300">
            <w:pPr>
              <w:keepNext/>
              <w:spacing w:after="0" w:line="240" w:lineRule="auto"/>
              <w:ind w:left="34" w:firstLine="283"/>
              <w:jc w:val="both"/>
              <w:outlineLvl w:val="2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Исключить влияние обслуживающего персонала на работу средств сигнализации и автоматических защит насосного оборудования; </w:t>
            </w:r>
          </w:p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Предусмотреть возможность включения ШУН в промышленную </w:t>
            </w:r>
            <w:r w:rsidRPr="00614587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SCADA</w:t>
            </w: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систему.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F010EE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lastRenderedPageBreak/>
              <w:t>1</w:t>
            </w:r>
            <w:r w:rsidR="00F010EE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</w:t>
            </w: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.4. Заземление: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Выполнить заземление вновь проектируемого оборудования насосной станции;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F010EE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</w:t>
            </w:r>
            <w:r w:rsidR="00F010EE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</w:t>
            </w: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.5. Уровень автоматизации: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для подключения и управления насосными агрегатами предусмотреть шкаф управления насосными агрегатами (ШУН) заводского изготовления в комплекте с контроллером и программой управления технологическим режимом работы насосного оборудования на насосной станции с предварительным согласованием. Заказной спецификации на шкаф управления насосами 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контроллерную часть ШУН выполнить в отдельном корпусе комплектного производства со 100 % резервированием оборудования;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предусмотреть </w:t>
            </w:r>
            <w:proofErr w:type="gramStart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технологическое</w:t>
            </w:r>
            <w:proofErr w:type="gramEnd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управления автоматической работы включения и выключения насосных агрегатов по заданным значения. 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</w:t>
            </w:r>
            <w:proofErr w:type="gramStart"/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предусмотреть работу ПНС в автоматическом режиме, местном (ручном) и дистанционным (телемеханическом) с пульта оператора центрального диспетчерского пункта (ЦДП) с применением средств  АСУ ТП.</w:t>
            </w:r>
            <w:proofErr w:type="gramEnd"/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Автоматика безопасности и регулирования должна обеспечить работу насосного оборудования без постоянного присутствия  обсуживающего персонала;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при работе насосной в автоматическом режиме предусмотреть вывод световой сигнализации и информации о режимах работы оборудования на ШУН управления насосной, а так же передачу сигнала в диспетчерскую службу. </w:t>
            </w:r>
          </w:p>
          <w:p w:rsidR="00E51300" w:rsidRPr="00614587" w:rsidRDefault="00E51300" w:rsidP="00E51300">
            <w:pPr>
              <w:keepNext/>
              <w:spacing w:after="0" w:line="240" w:lineRule="auto"/>
              <w:ind w:firstLine="317"/>
              <w:outlineLvl w:val="2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для контроля параметров, изменение которых может </w:t>
            </w:r>
            <w:proofErr w:type="gramStart"/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привести к аварийному состоянию оборудования и учет которых необходим</w:t>
            </w:r>
            <w:proofErr w:type="gramEnd"/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для анализа работы оборудования, предусмотреть регистрирующие и суммирующие функции контроллера технологического режима.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 предусмотреть возможность удаленного контроля параметров работы: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количество рабочих насосных агрегатов на станции;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текущее состояние каждого насоса;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lastRenderedPageBreak/>
              <w:t>- текущую нагрузку насосного агрегата;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текущий потребляемый ток насосным агрегатом;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текущая частота вращения насосного агрегата;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время работы насосного агрегата;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потребленная энергия;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предусмотреть возможность удаленного управления насосной станции: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- остановка/запуск насосного агрегата;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- переключение насосных агрегатов (рабочий/резервный) 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jc w:val="both"/>
              <w:rPr>
                <w:rFonts w:ascii="Calibri" w:eastAsia="Calibri" w:hAnsi="Calibri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измерение/корректировку основных технологических параметров;</w:t>
            </w:r>
          </w:p>
          <w:p w:rsidR="00E51300" w:rsidRPr="00614587" w:rsidRDefault="00E51300" w:rsidP="00E51300">
            <w:pPr>
              <w:keepNext/>
              <w:spacing w:after="0" w:line="240" w:lineRule="auto"/>
              <w:ind w:firstLine="317"/>
              <w:outlineLvl w:val="2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Исключить влияние обслуживающего персонала на работу средств сигнализации и автоматических защит насосного оборудования; </w:t>
            </w:r>
          </w:p>
          <w:p w:rsidR="00E51300" w:rsidRPr="00614587" w:rsidRDefault="00E51300" w:rsidP="00E51300">
            <w:pPr>
              <w:keepNext/>
              <w:spacing w:after="0" w:line="240" w:lineRule="auto"/>
              <w:ind w:firstLine="317"/>
              <w:outlineLvl w:val="2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Применить, для визуального контроля параметров работы насосной измерительные манометры.</w:t>
            </w:r>
          </w:p>
          <w:p w:rsidR="00E51300" w:rsidRPr="00614587" w:rsidRDefault="00E51300" w:rsidP="00E51300">
            <w:pPr>
              <w:spacing w:after="0" w:line="240" w:lineRule="auto"/>
              <w:ind w:firstLine="317"/>
              <w:jc w:val="both"/>
              <w:rPr>
                <w:rFonts w:ascii="Calibri" w:eastAsia="Calibri" w:hAnsi="Calibri"/>
                <w:lang w:eastAsia="en-US"/>
              </w:rPr>
            </w:pP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sym w:font="Wingdings" w:char="F09F"/>
            </w: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предусмотреть возможность включения </w:t>
            </w:r>
            <w:proofErr w:type="gramStart"/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насосной</w:t>
            </w:r>
            <w:proofErr w:type="gramEnd"/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 промышленную </w:t>
            </w:r>
            <w:r w:rsidRPr="00614587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SCADA</w:t>
            </w:r>
            <w:r w:rsidRPr="0061458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систему.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F010EE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lastRenderedPageBreak/>
              <w:t>1</w:t>
            </w:r>
            <w:r w:rsidR="00F010EE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</w:t>
            </w: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.6. Вспомогательное технологическое оборудование: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предусмотреть замену существующего и установку нового грузоподъемных механизмов для монтажа и демонтажа основного технологического оборудования насосной станции.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F010EE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1</w:t>
            </w:r>
            <w:r w:rsidR="00F010EE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2</w:t>
            </w: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. Дополнительные требования</w:t>
            </w:r>
            <w:proofErr w:type="gramStart"/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ind w:left="317"/>
              <w:outlineLvl w:val="0"/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11.</w:t>
            </w:r>
            <w:r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1</w:t>
            </w:r>
            <w:r w:rsidRPr="00614587">
              <w:rPr>
                <w:rFonts w:ascii="Times New Roman" w:hAnsi="Times New Roman"/>
                <w:bCs/>
                <w:i/>
                <w:kern w:val="36"/>
                <w:sz w:val="20"/>
                <w:szCs w:val="20"/>
              </w:rPr>
              <w:t>. Обеспечение необходимыми сведениями и технической документацией:</w:t>
            </w:r>
          </w:p>
        </w:tc>
        <w:tc>
          <w:tcPr>
            <w:tcW w:w="652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по письменному запросу о предоставлении информации для надлежащего выполнения работ по разработке рабочей документации и выполнению работ.</w:t>
            </w:r>
          </w:p>
        </w:tc>
      </w:tr>
      <w:tr w:rsidR="00E51300" w:rsidRPr="00614587" w:rsidTr="00E51300">
        <w:tc>
          <w:tcPr>
            <w:tcW w:w="3828" w:type="dxa"/>
            <w:gridSpan w:val="2"/>
          </w:tcPr>
          <w:p w:rsidR="00E51300" w:rsidRPr="00614587" w:rsidRDefault="00E51300" w:rsidP="00F010EE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1</w:t>
            </w:r>
            <w:r w:rsidR="00F010EE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3</w:t>
            </w:r>
            <w:bookmarkStart w:id="0" w:name="_GoBack"/>
            <w:bookmarkEnd w:id="0"/>
            <w:r w:rsidRPr="00614587">
              <w:rPr>
                <w:rFonts w:ascii="Times New Roman" w:hAnsi="Times New Roman"/>
                <w:b/>
                <w:bCs/>
                <w:i/>
                <w:kern w:val="36"/>
                <w:sz w:val="20"/>
                <w:szCs w:val="20"/>
              </w:rPr>
              <w:t>. Особые требования:</w:t>
            </w:r>
          </w:p>
        </w:tc>
        <w:tc>
          <w:tcPr>
            <w:tcW w:w="6521" w:type="dxa"/>
            <w:gridSpan w:val="4"/>
            <w:shd w:val="clear" w:color="auto" w:fill="auto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sym w:font="Wingdings" w:char="F09F"/>
            </w: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все принимаемые Исполнителем решения подлежат обязательному предварительному согласованию на стадии проектирования.</w:t>
            </w: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9571" w:type="dxa"/>
            <w:gridSpan w:val="4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Главный механик                                    </w:t>
            </w: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61458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Щербаков О.Ю.</w:t>
            </w: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/>
              <w:ind w:right="-4361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E51300" w:rsidRPr="00614587" w:rsidTr="00E51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5" w:type="dxa"/>
        </w:trPr>
        <w:tc>
          <w:tcPr>
            <w:tcW w:w="5211" w:type="dxa"/>
            <w:gridSpan w:val="2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127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2233" w:type="dxa"/>
          </w:tcPr>
          <w:p w:rsidR="00E51300" w:rsidRPr="00614587" w:rsidRDefault="00E51300" w:rsidP="00E513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</w:tbl>
    <w:p w:rsidR="00614587" w:rsidRDefault="00614587"/>
    <w:p w:rsidR="00614587" w:rsidRDefault="00614587"/>
    <w:sectPr w:rsidR="00614587" w:rsidSect="00203C57">
      <w:pgSz w:w="11906" w:h="16838"/>
      <w:pgMar w:top="720" w:right="720" w:bottom="72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41B82"/>
    <w:multiLevelType w:val="multilevel"/>
    <w:tmpl w:val="07106D6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62B0BAD"/>
    <w:multiLevelType w:val="hybridMultilevel"/>
    <w:tmpl w:val="3F7E51D8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">
    <w:nsid w:val="3DFC2E31"/>
    <w:multiLevelType w:val="hybridMultilevel"/>
    <w:tmpl w:val="98BCCE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F0D2114"/>
    <w:multiLevelType w:val="hybridMultilevel"/>
    <w:tmpl w:val="8446D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1A7C24"/>
    <w:multiLevelType w:val="hybridMultilevel"/>
    <w:tmpl w:val="784EE19E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5">
    <w:nsid w:val="5B424BCF"/>
    <w:multiLevelType w:val="hybridMultilevel"/>
    <w:tmpl w:val="54DCFCB6"/>
    <w:lvl w:ilvl="0" w:tplc="997EFF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F8178D"/>
    <w:multiLevelType w:val="hybridMultilevel"/>
    <w:tmpl w:val="452AC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E1C"/>
    <w:rsid w:val="00034E1C"/>
    <w:rsid w:val="0004413B"/>
    <w:rsid w:val="00106F77"/>
    <w:rsid w:val="001337FE"/>
    <w:rsid w:val="001A42CE"/>
    <w:rsid w:val="00203C57"/>
    <w:rsid w:val="00211674"/>
    <w:rsid w:val="00343235"/>
    <w:rsid w:val="003C4C46"/>
    <w:rsid w:val="003E58A2"/>
    <w:rsid w:val="004E22E8"/>
    <w:rsid w:val="00605DD7"/>
    <w:rsid w:val="00614587"/>
    <w:rsid w:val="006E5006"/>
    <w:rsid w:val="00746D8A"/>
    <w:rsid w:val="007B6C16"/>
    <w:rsid w:val="00902128"/>
    <w:rsid w:val="00944BEB"/>
    <w:rsid w:val="009C13E5"/>
    <w:rsid w:val="00BB0700"/>
    <w:rsid w:val="00BD202D"/>
    <w:rsid w:val="00BD7A79"/>
    <w:rsid w:val="00BF0AD9"/>
    <w:rsid w:val="00CE5539"/>
    <w:rsid w:val="00E3737D"/>
    <w:rsid w:val="00E43FDF"/>
    <w:rsid w:val="00E51300"/>
    <w:rsid w:val="00E7683E"/>
    <w:rsid w:val="00F0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8D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1"/>
    <w:qFormat/>
    <w:locked/>
    <w:rsid w:val="00450C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450C8D"/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uiPriority w:val="99"/>
    <w:semiHidden/>
    <w:qFormat/>
    <w:rsid w:val="00450C8D"/>
    <w:rPr>
      <w:rFonts w:ascii="Calibri" w:eastAsia="Times New Roman" w:hAnsi="Calibri" w:cs="Times New Roman"/>
      <w:lang w:eastAsia="ru-RU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No Spacing"/>
    <w:uiPriority w:val="1"/>
    <w:qFormat/>
    <w:rsid w:val="00450C8D"/>
    <w:pPr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uiPriority w:val="99"/>
    <w:semiHidden/>
    <w:unhideWhenUsed/>
    <w:rsid w:val="00450C8D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semiHidden/>
    <w:unhideWhenUsed/>
    <w:rsid w:val="00450C8D"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rsid w:val="00450C8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B6C16"/>
    <w:pPr>
      <w:spacing w:line="240" w:lineRule="auto"/>
      <w:ind w:left="720" w:firstLine="360"/>
      <w:contextualSpacing/>
      <w:jc w:val="both"/>
    </w:pPr>
    <w:rPr>
      <w:rFonts w:ascii="Tahoma" w:hAnsi="Tahoma"/>
      <w:sz w:val="20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E7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768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9</Pages>
  <Words>3889</Words>
  <Characters>22172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kinderbaev</dc:creator>
  <dc:description/>
  <cp:lastModifiedBy>Лазарева Валентина Николаевна</cp:lastModifiedBy>
  <cp:revision>20</cp:revision>
  <cp:lastPrinted>2020-11-23T04:16:00Z</cp:lastPrinted>
  <dcterms:created xsi:type="dcterms:W3CDTF">2020-10-26T02:55:00Z</dcterms:created>
  <dcterms:modified xsi:type="dcterms:W3CDTF">2020-11-30T10:32:00Z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